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17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1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1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1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1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1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1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1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1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1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9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1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1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1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1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>
      <w:pPr>
        <w:pStyle w:val="ListParagraph"/>
        <w:widowControl/>
        <w:numPr>
          <w:ilvl w:val="0"/>
          <w:numId w:val="1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>
      <w:pPr>
        <w:pStyle w:val="ListParagraph"/>
        <w:widowControl/>
        <w:numPr>
          <w:ilvl w:val="0"/>
          <w:numId w:val="1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>
      <w:pPr>
        <w:pStyle w:val="ListParagraph"/>
        <w:widowControl/>
        <w:numPr>
          <w:ilvl w:val="0"/>
          <w:numId w:val="1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>
      <w:pPr>
        <w:pStyle w:val="ListParagraph"/>
        <w:widowControl/>
        <w:numPr>
          <w:ilvl w:val="0"/>
          <w:numId w:val="14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ind w:left="357" w:hanging="357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>
      <w:pPr>
        <w:pStyle w:val="ListParagraph"/>
        <w:widowControl/>
        <w:numPr>
          <w:ilvl w:val="0"/>
          <w:numId w:val="15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>
      <w:pPr>
        <w:pStyle w:val="ListParagraph"/>
        <w:widowControl/>
        <w:numPr>
          <w:ilvl w:val="0"/>
          <w:numId w:val="15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>
      <w:pPr>
        <w:pStyle w:val="ListParagraph"/>
        <w:widowControl/>
        <w:numPr>
          <w:ilvl w:val="0"/>
          <w:numId w:val="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>
      <w:pPr>
        <w:pStyle w:val="ListParagraph"/>
        <w:widowControl/>
        <w:numPr>
          <w:ilvl w:val="0"/>
          <w:numId w:val="1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uczniom informacji o postępach i trudnościach w nauce następuje podczas właściwych zajęć edukacyjnych, w tym również godziny do dyspozycji wychowawcy, a także za pomocą dziennika elektronicznego.</w:t>
      </w:r>
    </w:p>
    <w:p>
      <w:pPr>
        <w:sectPr>
          <w:type w:val="nextPage"/>
          <w:pgSz w:orient="landscape" w:w="16838" w:h="11906"/>
          <w:pgMar w:left="1418" w:right="1418" w:gutter="0" w:header="0" w:top="567" w:footer="0" w:bottom="709"/>
          <w:pgNumType w:fmt="decimal"/>
          <w:formProt w:val="false"/>
          <w:textDirection w:val="lrTb"/>
          <w:docGrid w:type="default" w:linePitch="100" w:charSpace="0"/>
        </w:sectPr>
        <w:pStyle w:val="ListParagraph"/>
        <w:widowControl/>
        <w:numPr>
          <w:ilvl w:val="0"/>
          <w:numId w:val="1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>
      <w:pPr>
        <w:pStyle w:val="Normal"/>
        <w:widowControl/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14709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1" w:lastColumn="0" w:noHBand="0" w:val="00a0"/>
      </w:tblPr>
      <w:tblGrid>
        <w:gridCol w:w="3793"/>
        <w:gridCol w:w="4395"/>
        <w:gridCol w:w="3542"/>
        <w:gridCol w:w="2978"/>
      </w:tblGrid>
      <w:tr>
        <w:trPr>
          <w:tblHeader w:val="true"/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793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bCs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Stopień dopuszczający</w:t>
            </w:r>
          </w:p>
        </w:tc>
        <w:tc>
          <w:tcPr>
            <w:tcW w:w="4395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dostateczny</w:t>
            </w:r>
          </w:p>
        </w:tc>
        <w:tc>
          <w:tcPr>
            <w:tcW w:w="3542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dobry</w:t>
            </w:r>
          </w:p>
        </w:tc>
        <w:tc>
          <w:tcPr>
            <w:tcW w:w="2978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color="auto" w:fill="E6F0D3" w:val="clear"/>
          </w:tcPr>
          <w:p>
            <w:pPr>
              <w:pStyle w:val="Nagwek3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93C742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agwek3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7. </w:t>
            </w:r>
            <w:r>
              <w:rPr>
                <w:bCs w:val="false"/>
                <w:color w:val="0D0D0D" w:themeColor="text1" w:themeTint="f2"/>
                <w:sz w:val="15"/>
                <w:szCs w:val="15"/>
              </w:rPr>
              <w:t>Termodynamika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informuje, czym zajmuje się termodynamika; porównuje właściwości substancji w różnych stanach skupienia wynikające z ich budowy mikroskopowej; analizuje jakościowo związek między temperaturą a średnią energią kinetyczną cząsteczek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informuje, że energię układu można zmienić, wykonując nad nim pracę lub przekazując mu energię w postaci ciepła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wraz z jego jednostką; porównuje ciepła właściwe różnych substancji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skalami temperatur Celsjusza i Kelvina oraz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mocy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rozróżnia i nazywa zmiany stanów skupienia; analizuje i opisuje zjawiska: topnienia, krzepnięcia, wrzenia, skraplania, sublimacji i resublimacji jako procesy, w których dostarczanie energii w postaci ciepła nie powoduje zmiany temperatury;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informuje, że topnienie i parowanie wymagają dostarczenia energii, natomiast podczas krzepnięcia i skraplania wydziela się energia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szczególne własności wody oraz ich konsekwencje dla życia na Ziemi, wskazuje odpowiednie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bada jakościowo szybkość topnienia lodu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proces topnienia lodu, obserwuje szybkość wydzielania gazu, wykazuje zależność temperatury wrzenia od ciśnienia zewnętrznego;</w:t>
            </w:r>
          </w:p>
          <w:p>
            <w:pPr>
              <w:pStyle w:val="Normal"/>
              <w:widowControl w:val="false"/>
              <w:spacing w:lineRule="auto" w:line="266" w:before="0" w:after="40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opisuje i analizuje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energii wewnętrznej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przemianami fazowymi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wykorzystaniem ciepła przemiany fazowej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szczególnych własności wody;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przelicza jednostki, wykonuje obliczenia i zapisuje wynik zgodnie z zasadami zaokrąglania, z zachowaniem liczby cyfr znaczących; ustala odpowiedzi; czytelnie przedstawia odpowiedzi i rozwiązania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odróżnia przekaz energii w postaci ciepła między układami o różnych temperaturach od przekazu energii w formie pracy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pacing w:val="-4"/>
                <w:sz w:val="15"/>
                <w:szCs w:val="15"/>
              </w:rPr>
              <w:t>energii wewnętrznej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; analizuje pierwszą zasadę termodynamiki jako zasadę zachowania energii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zjawisko rozszerzalności cieplnej: liniowej ciał stałych oraz objętościowej gazów i cieczy; wskazuje przykłady tego zjawiska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znaczenie rozszerzalności cieplnej ciał stałych;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wskazuje przykłady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wykorzystania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objętościowej gazów i cieczy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jej skutków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interpretuje pojęcie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stosuje je do obliczeń oraz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pojęcie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do obliczania energii potrzebnej do ogrzania ciała lub do obliczania energii oddanej przez stygnące ciało; uzasadnia równość tych energii na podstawie 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przykłady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w </w:t>
            </w:r>
            <w:r>
              <w:rPr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9"/>
                <w:sz w:val="15"/>
                <w:szCs w:val="15"/>
              </w:rPr>
              <w:t>odróżnia ciała o budowie krystalicznej od ciał bezpostaciowych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ilustruje na schematach zależność temperatury od dostarczanego ciepła dla obu rodzajów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j (ciepła topnienia i ciepła parowania) wraz z jego jednostką, interpretuje to pojęcie oraz stosuje je do obliczeń;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color w:val="0D0D0D" w:themeColor="text1" w:themeTint="f2"/>
                <w:sz w:val="15"/>
                <w:szCs w:val="15"/>
              </w:rPr>
              <w:t>wykorzystania przemian fazowych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i wyznacza energię przekazaną podczas zmiany temperatury i zmiany stanu skupienia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do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szczególne własności wody oraz ich konsekwencje dla życia na Ziemi; uzasadnia, że woda łagodzi klimat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nietypową rozszerzalność cieplną wody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b/>
                <w:bCs/>
                <w:color w:val="0D0D0D" w:themeColor="text1" w:themeTint="f2"/>
                <w:sz w:val="15"/>
                <w:szCs w:val="15"/>
                <w:lang w:eastAsia="en-US"/>
              </w:rPr>
              <w:t>demonstruje rozszerzalność cieplną ciał stałych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wyznacza sprawność czajnika elektrycznego o znanej mocy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wpływ soli na topnienie lodu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doświadczalnie wyznacza ciepło właściwe substancji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opracowuje wyniki pomiarów; </w:t>
            </w:r>
          </w:p>
          <w:p>
            <w:pPr>
              <w:pStyle w:val="Normal"/>
              <w:widowControl w:val="false"/>
              <w:spacing w:lineRule="auto" w:line="295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opisuje i analizuje wyniki pomiarów, wskazuje przyczyny niepewności pomiarowych;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przeprowadzonego doświadczenia jakościowego badania szybkości topnienia lodu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typowe zadania lub problemy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pojęcia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 xml:space="preserve">przemian fazowych 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95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spacing w:lineRule="auto" w:line="295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posługuje się tablicami fizycznymi, kartą wybranych wzorów i stałych oraz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95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z termodynamiki;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analizuje przedstawione materiały źródłowe, w tym teksty popularnonaukowe lub z internetu,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energii wewnętrznej,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zjawiska rozszerzalności cieplnej i jego wykorzystania,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poglądów na naturę ciepła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przedstawia własnymi słowami główne tezy;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posługuje się informacjami pochodzącymi z tych materiałów i wykorzystuje je do rozwiązywania zadań</w:t>
            </w:r>
          </w:p>
        </w:tc>
        <w:tc>
          <w:tcPr>
            <w:tcW w:w="3542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analizuje na przykładach </w:t>
            </w:r>
            <w:r>
              <w:rPr>
                <w:color w:val="0D0D0D" w:themeColor="text1" w:themeTint="f2"/>
                <w:sz w:val="15"/>
                <w:szCs w:val="15"/>
              </w:rPr>
              <w:t>rozszerzalność cieplną gazu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zależność temperatury wrzenia od ciśnienia zewnętrznego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stosuje pojęcie </w:t>
            </w:r>
            <w:r>
              <w:rPr>
                <w:i/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ciepła przemiany fazowej </w:t>
            </w:r>
            <w:r>
              <w:rPr>
                <w:color w:val="0D0D0D" w:themeColor="text1" w:themeTint="f2"/>
                <w:spacing w:val="-4"/>
                <w:w w:val="97"/>
                <w:sz w:val="15"/>
                <w:szCs w:val="15"/>
              </w:rPr>
              <w:t>(ciepła topnienia i ciepła parowania)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i wyjaśnia zmiany energii wewnętrznej podczas przemian fazowych na podstawie </w:t>
            </w:r>
            <w:r>
              <w:rPr>
                <w:color w:val="0D0D0D" w:themeColor="text1" w:themeTint="f2"/>
                <w:sz w:val="15"/>
                <w:szCs w:val="15"/>
              </w:rPr>
              <w:t>mikroskopowej budowy ciał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działanie lodówki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szkicuje wykres zależności objętości i/lub gęstości danej masy wody od temperatury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przeprowadza doświadczenia, korzystając z ich opisów: bada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rozszerzalność cieplną cieczy i powietrza</w:t>
            </w:r>
            <w:r>
              <w:rPr>
                <w:color w:val="0D0D0D" w:themeColor="text1" w:themeTint="f2"/>
                <w:sz w:val="15"/>
                <w:szCs w:val="15"/>
              </w:rPr>
              <w:t>; opisuje wyniki obserwacji;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przeprowadzonych doświadczeń lub obserwacji: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badania procesu topnienia lodu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obserwacji szybkości wydzielania gazu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wykazania zależności temperatury wrzenia od ciśnienia zewnętrznego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ocenia wynik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doświadczalnie wyznaczonego ciepła właściwego substancji</w:t>
            </w:r>
            <w:r>
              <w:rPr>
                <w:color w:val="0D0D0D" w:themeColor="text1" w:themeTint="f2"/>
                <w:sz w:val="15"/>
                <w:szCs w:val="15"/>
              </w:rPr>
              <w:t>; planuje i modyfikuje przebieg doświadczenia, formułuje hipotezę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1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z 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wykorzystaniem pojęć: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stwierdzenia; analizuje otrzymany wynik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wyszukuje i analizuje materiały źródłowe, w tym teksty popularnonaukowe dotyczące treści tego rozdziału, w szczególności niezwykłych własności wody; posługuje się informacjami pochodzącymi z tych materiałów i wykorzystuje je do 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Ruchy Browna</w:t>
            </w:r>
            <w:r>
              <w:rPr>
                <w:color w:val="0D0D0D" w:themeColor="text1" w:themeTint="f2"/>
                <w:sz w:val="15"/>
                <w:szCs w:val="15"/>
              </w:rPr>
              <w:t>; prezentuje wyniki doświadczeń domowych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2978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(nietypowe) zadania lub problemy dotyczące treści 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energii wewnętrznej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bCs/>
                <w:color w:val="0D0D0D" w:themeColor="text1" w:themeTint="f2"/>
                <w:sz w:val="15"/>
                <w:szCs w:val="15"/>
              </w:rPr>
              <w:t>przemian fazowych z 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wykorzystaniem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pojęć: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ilustruje i/lub uzasadnia zależności, </w:t>
            </w:r>
            <w:r>
              <w:rPr>
                <w:color w:val="0D0D0D" w:themeColor="text1" w:themeTint="f2"/>
                <w:sz w:val="15"/>
                <w:szCs w:val="15"/>
              </w:rPr>
              <w:t>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realizuje i prezentuje własny projekt związany z tematyką tego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(inny niż opisany w podręczniku); planuje i modyfikuje przebieg doświadczeń domowych, formułuje i weryfikuje hipotezy </w:t>
            </w:r>
          </w:p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8.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Drgania i fale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siły ciężkości</w:t>
            </w:r>
            <w:r>
              <w:rPr>
                <w:color w:val="0D0D0D" w:themeColor="text1" w:themeTint="f2"/>
                <w:sz w:val="15"/>
                <w:szCs w:val="15"/>
              </w:rPr>
              <w:t>, stosuje do obliczeń związek między tą siłą i masą; rozpoznaje i nazywa siłę sprężystości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ruch drgający jako ruch okresowy; podaje przykłady takiego ruchu; wskazuje położenie równowagi i amplitudę drgań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rysuje i opisuje siły działające na ciężarek na sprężynie; wyznacza amplitudę i okres drgań na podstawie przedstawionego wykresu zależności położenia ciężarka od czasu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analizuje, opisuje i rysuje siły działające na ciężarek na sprężynie (wahadło sprężynowe) wykonujący ruch drgający w różnych jego położeniach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kinetycznej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potencjalnej grawitacji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potencjalnej sprężystości</w:t>
            </w:r>
            <w:r>
              <w:rPr>
                <w:color w:val="0D0D0D" w:themeColor="text1" w:themeTint="f2"/>
                <w:sz w:val="15"/>
                <w:szCs w:val="15"/>
              </w:rPr>
              <w:t>; analizuje jakościowo przemiany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zależność okresu drgań ciężarka na sprężynie od jego masy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rozchodzenie się fali mechanicznej jako proces przekazywania energii bez przenoszenia materii;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prędkości fali</w:t>
            </w:r>
            <w:r>
              <w:rPr>
                <w:color w:val="0D0D0D" w:themeColor="text1" w:themeTint="f2"/>
                <w:sz w:val="15"/>
                <w:szCs w:val="15"/>
              </w:rPr>
              <w:t>; wskazuje impuls falowy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amplitudy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okresu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częstotliwości fali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długości fali</w:t>
            </w:r>
            <w:r>
              <w:rPr>
                <w:color w:val="0D0D0D" w:themeColor="text1" w:themeTint="f2"/>
                <w:sz w:val="15"/>
                <w:szCs w:val="15"/>
              </w:rPr>
              <w:t>, wraz z ich jednostkami, do opisu fal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mechanizm powstawania i rozchodzenia się fal dźwiękowych w powietrzu; podaje przykłady źródeł dźwięków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rodzaje fal elektromagnetycznych i podaje przykłady ich zastosowania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fale na wodzie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ruchu drgającego i analizą przemian energii w tym ruchu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sprężynowego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zjawiska rezonansu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dźwięków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przelicza jednostki, wykonuje obliczenia i zapisuje wynik zgodnie z zasadami 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podaje i omawia prawo </w:t>
            </w:r>
            <w:r>
              <w:rPr>
                <w:bCs/>
                <w:color w:val="0D0D0D" w:themeColor="text1" w:themeTint="f2"/>
                <w:spacing w:val="-2"/>
                <w:sz w:val="15"/>
                <w:szCs w:val="15"/>
              </w:rPr>
              <w:t>Hooke’a, wskazuje jego ograniczenia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; stosuje prawo </w:t>
            </w:r>
            <w:r>
              <w:rPr>
                <w:bCs/>
                <w:color w:val="0D0D0D" w:themeColor="text1" w:themeTint="f2"/>
                <w:spacing w:val="-2"/>
                <w:sz w:val="15"/>
                <w:szCs w:val="15"/>
              </w:rPr>
              <w:t>Hooke’a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do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proporcjonalność siły sprężystości do wydłużenia sprężyny;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analizuje ruch drgający pod wpływem siły sprężystości, posługując się pojęciami: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wychylenia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amplitudy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okresu drgań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szkicuje wykres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wyznacza i rysuje siłę wypadkową działającą na wahadło sprężynowe, które wykonuje ruch drgający w różnych położeniach ciężarka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zasadę zachowania energii do opisu przemian energii w ruchu drgającym;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</w:pP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opisuje </w:t>
            </w:r>
            <w:r>
              <w:rPr>
                <w:color w:val="0D0D0D" w:themeColor="text1" w:themeTint="f2"/>
                <w:spacing w:val="-5"/>
                <w:sz w:val="15"/>
                <w:szCs w:val="15"/>
              </w:rPr>
              <w:t>zjawisko rezonansu mechanicznego na wybranych przykładach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; porównuje zależność </w:t>
            </w:r>
            <w:r>
              <w:rPr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) w przypadku rezonansu; </w:t>
            </w:r>
            <w:r>
              <w:rPr>
                <w:rFonts w:eastAsia="Calibri"/>
                <w:color w:val="0D0D0D" w:themeColor="text1" w:themeTint="f2"/>
                <w:spacing w:val="-3"/>
                <w:sz w:val="15"/>
                <w:szCs w:val="15"/>
                <w:lang w:eastAsia="en-US"/>
              </w:rPr>
              <w:t xml:space="preserve">wskazuje przykłady </w:t>
            </w:r>
            <w:r>
              <w:rPr>
                <w:color w:val="0D0D0D" w:themeColor="text1" w:themeTint="f2"/>
                <w:spacing w:val="-3"/>
                <w:sz w:val="15"/>
                <w:szCs w:val="15"/>
              </w:rPr>
              <w:t xml:space="preserve">wykorzystania rezonansu oraz jego negatywnych skutków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rozchodzenie się fal na powierzchni wody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do obliczeń związki między prędkością, długością, okresem i częstotliwością fali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związki między wysokością dźwięku a częstotliwością fali oraz między głośnością dźwięku a amplitudą fali; omawia zależność prędkości dźwięku od rodzaju ośrodka i temperatury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jako falę elektromagnetyczną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związek między elektrycznością i magnetyzmem; wyjaśnia, czym jest fala elektromagnetyczna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widmo fal elektromagnetycznych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bada rozciąganie sprężyny, sporządza wykres zależności wydłużenia sprężyny od siły ciężkości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tworzy wykres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w ruchu drgającym ciężarka za pomocą programu Tracker, wyznacza okres drgań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bada jakościową zależność okresu drgań ciężarka na sprężynie od jego masy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demonstruje zjawisko rezonansu mechanicznego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fale w układzie ciężarków i sprężyn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rozchodzenie się fali podłużnej w układzie ciężarków i sprężyn oraz oscylogramy dźwięków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przedstawia, analizuje i wyjaśnia wyniki obserwacji; opracowuje wyniki pomiarów,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ruchu drgającego oraz 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sprężynowego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zjawiska rezonansu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-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 xml:space="preserve"> D</w:t>
            </w:r>
            <w:r>
              <w:rPr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dźwięków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spacing w:lineRule="auto" w:line="264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tablicami fizycznymi oraz kartą wybranych wzorów i stałych; wykonuje obliczenia, posługując się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o drganiach i falach;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przedstawionych materiałów źródłowych, które dotyczą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Drgania i fale</w:t>
            </w:r>
            <w:r>
              <w:rPr>
                <w:color w:val="0D0D0D" w:themeColor="text1" w:themeTint="f2"/>
                <w:sz w:val="15"/>
                <w:szCs w:val="15"/>
              </w:rPr>
              <w:t>, w szczególności: osiągnięć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 xml:space="preserve"> Roberta Hooke’a, </w:t>
            </w:r>
            <w:r>
              <w:rPr>
                <w:color w:val="0D0D0D" w:themeColor="text1" w:themeTint="f2"/>
                <w:sz w:val="15"/>
                <w:szCs w:val="15"/>
              </w:rPr>
              <w:t>zjawiska rezonansu, fal dźwiękowych</w:t>
            </w:r>
          </w:p>
        </w:tc>
        <w:tc>
          <w:tcPr>
            <w:tcW w:w="3542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stosuje prawo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sporządza wykres zależności wydłużenia sprężyny od siły ciężkości z uwzględnieniem niepewności pomiaru; interpretuje nachylenie prostej; wyznacza współczynnik sprężystości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opisuje i analizuje ruch wahadła matematycznego; ilustruje graficznie siły działające na wahadło, wyznacza siłę wypadkową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opisuje, jak zmieniają się prędkość i przyspieszenie drgającego ciężarka w wahadle sprężynowym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interpretuje podane wzory na okres drgań ciężarka o pewnej masie zawieszonego na sprężynie oraz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szkicuje wykresy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w przypadku rezonansu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wyjaśnia wyniki obserwacji zjawiska rezonansu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wyjaśnia zależność prędkości dźwięku od rodzaju ośrodka i temperatury; uzasadnia, że podczas przejścia fali do innego ośrodka nie zmienia się jej częstotliwość; analizuje wykres zależności gęstości powietrza od czasu dla tonu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że w muzyce taki sam interwał oznacza taki sam stosunek częstotliwości dźwięków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podaje warunek harmonijnego współbrzmienia dźwięków;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omawia strój równomiernie temperowany oraz drgania struny;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od czego zależy barwa dźwięku instrumentu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nadawanie i odbiór fal radiowych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wyjaśnia naukowe znaczenie słowa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teoria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posługuje się informacjami nt. roli Maxwella w badaniach nad elektrycznością i magnetyzmem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planuje i przeprowadza doświadczenie w celu zbadania, czy gumka recepturka spełnia prawo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planuje i modyfikuje przebieg doświadczenia związanego z tworzeniem wykresu zależności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>
              <w:rPr>
                <w:color w:val="0D0D0D" w:themeColor="text1" w:themeTint="f2"/>
                <w:sz w:val="15"/>
                <w:szCs w:val="15"/>
              </w:rPr>
              <w:t>(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>
              <w:rPr>
                <w:color w:val="0D0D0D" w:themeColor="text1" w:themeTint="f2"/>
                <w:sz w:val="15"/>
                <w:szCs w:val="15"/>
              </w:rPr>
              <w:t>) w ruchu drgającym ciężarka za pomocą programu Tracker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bada zależność okresu drgań wahadła matematycznego od jego długości; planuje i modyfikuje przebieg badania, formułuje i weryfikuje hipotezy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 dotyczące treści tego rozdziału,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związane z opisem ruchu drgającego i 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(sprężynowego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matematycznego)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zjawiska rezonansu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dźwięków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materiałów źródłowych dotyczących treści tego rozdziału, w szczególności ruchu drgającego i wahadeł (np. wahadła Foucaulta)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opisany w podręczniku projekt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Ten zegar stary...</w:t>
            </w:r>
            <w:r>
              <w:rPr>
                <w:color w:val="0D0D0D" w:themeColor="text1" w:themeTint="f2"/>
                <w:sz w:val="15"/>
                <w:szCs w:val="15"/>
              </w:rPr>
              <w:t>; prezentuje wyniki doświadczeń domowych</w:t>
            </w:r>
          </w:p>
        </w:tc>
        <w:tc>
          <w:tcPr>
            <w:tcW w:w="2978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pacing w:val="-2"/>
                <w:sz w:val="15"/>
                <w:szCs w:val="15"/>
              </w:rPr>
              <w:t xml:space="preserve"> Drgania i fale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związane z opisem ruchu drgającego i analizą przemian energii w ruchu drgającym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okresem drgań wahadła (sprężynowego i 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matematycznego)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dotyczące zjawiska rezonansu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dźwięków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dotyczące fal elektromagnetycznych;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realizuje i prezentuje własny projekt związany z tematyką tego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(inny niż opisany w podręczniku); planuje i modyfikuje przebieg doświadczeń domowych, formułuje i weryfikuje hipotezy </w:t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9.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Zjawiska falowe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88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rozróżnia fale płaskie, koliste i kuliste; wskazuje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odbicia od powierzchni płaskiej i od powierzchni sferycznej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rozproszenia światła przy odbiciu od powierzchni chropowatej;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zjawisko załamania światła na granicy dwóch ośrodków różniących się prędkością rozchodzenia się światła; wskazuje kierunek załamania; podaje przykłady wykorzystania zjawiska załamania światła w praktyce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białe jako mieszaninę barw, ilustruje to rozszczepieniem światła w pryzmacie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prostoliniowe rozchodzenie się światła w ośrodku jednorodnym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zasadę superpozycji fal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rozróżnia światło spolaryzowane i niespolaryzowane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fale koliste i płaskie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demonstruje rozpraszanie się światła w ośrodku</w:t>
            </w:r>
            <w:r>
              <w:rPr>
                <w:color w:val="0D0D0D" w:themeColor="text1" w:themeTint="f2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spacing w:lineRule="auto" w:line="288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 (ilustruje na schematycznym rysunku) i opisuje obserwacje, 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8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8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przedstawia je w różnych postaciach, wykonuje obliczenia i zapisuje wynik zgodnie z zasadami zaokrąglania, z zachowaniem liczby cyfr znaczących, ilustruje i ustala odpowiedzi, czytelnie przedstawia odpowiedzi i rozwiązania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rozchodzenie się fal na powierzchni wody i dźwięku w powietrzu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prawo odbicia do wyjaśniania zjawisk i wykonywana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>opisuje zjawisko rozproszenia światła na niejednorodnościach ośrodka;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przykłady zjawisk optycznych w przyrodzie wynikających z rozpraszania światła: błękitny kolor nieba, czerwony kolor zachodzącego słońca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wskazuje i opisuje przykłady zjawisk związanych z załamaniem światła, np.: złudzenia optyczne, fatamorgana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zjawiska jednoczesnego odbicia i załamania światła na granicy dwóch ośrodków różniących się prędkością rozchodzenia się światła; opisuje zjawisko całkowitego wewnętrznego odbicia;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kąta granicznego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działanie światłowodu jako przykład wykorzystania zjawiska całkowitego wewnętrznego odbicia, wskazuje jego zastosowania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rozszczepienie światła przez kroplę wody; opisuje widmo światła białego jako mieszaninę fal o różnych częstotliwościach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przykłady zjawisk optycznych w przyrodzie i atmosferze, powstających dzięki rozszczepieniu światła (tęcza, halo)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jakościowo dyfrakcję fali na szczelinie – związek pomiędzy dyfrakcją na szczelinie a szerokością szczeliny i długością fali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warunki, w jakich może zachodzić dyfrakcja fal, wskazuje jej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zjawisko interferencji fal i przestrzenny obraz interferencji; podaje warunki wzmocnienia oraz wygaszenia się fal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wskazuje przykłady zjawisk optycznych obserwowanych dzięki dyfrakcji i interferencji światła w przyrodzie (barwy niektórych organizmów żywych, baniek mydlanych) i 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w atmosferze (wieniec,</w:t>
            </w:r>
            <w:r>
              <w:rPr>
                <w:iCs/>
                <w:color w:val="0D0D0D" w:themeColor="text1" w:themeTint="f2"/>
                <w:sz w:val="15"/>
                <w:szCs w:val="15"/>
                <w:highlight w:val="lightGray"/>
              </w:rPr>
              <w:t xml:space="preserve"> iryzacja chmury, widmo Brockenu, gloria)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światło jako falę elektromagnetyczną poprzeczną oraz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polaryzację światła wynikającą z poprzecznego charakteru fali i działanie polaryzatora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wskazuje przykłady wykorzystania polaryzacji światła, np.: ekrany LCD, niektóre gatunki zwierząt, które widzą światło spolaryzowane, okulary polaryzacyjne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jakościowo efekt Dopplera; podaje przykłady występowania zjawiska Dopplera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efekt Dopplera dla fal elektromagnetycznych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przykłady wykorzystania efektu Dopplera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rozproszenie fal przy odbiciu od powierzchni nieregularnej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zjawisko załamania światła na granicy ośrodków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demonstruje odbicie i załamanie światła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zjawisko dyfrakcji fal na wodzie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interferencję fal dźwiękowych i interferencję światła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interferencję światła na siatce dyfrakcyjnej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obserwuje wygaszanie światła po przejściu przez dwa polaryzatory ustawione prostopadle</w:t>
            </w:r>
            <w:r>
              <w:rPr>
                <w:color w:val="0D0D0D" w:themeColor="text1" w:themeTint="f2"/>
                <w:sz w:val="15"/>
                <w:szCs w:val="15"/>
              </w:rPr>
              <w:t>, opisuje, ilustruje na schematycznym rysunku, analizuje i wyjaśnia obserwacje; formułuje wnioski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tablicami fizycznymi oraz kartą wybranych wzorów i stałych; ilustruje,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dokonuje syntezy wiedzy o zjawiskach falowych; przedstawia najważniejsze pojęcia, zasady i zależności; prezentuje efekty własnej pracy, np. wyniki doświadczeń domowych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zjawiska załamania fal,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falowej teorii fal elektromagnetycznych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 xml:space="preserve">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zjawisk optycznych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badań efektu Dopplera</w:t>
            </w:r>
          </w:p>
        </w:tc>
        <w:tc>
          <w:tcPr>
            <w:tcW w:w="3542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wyjaśnia przyczyny zjawisk optycznych w przyrodzie wynikających z rozpraszania światła: błękitny kolor nieba, czerwony kolor zachodzącego Słońca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zależność między kątami podania i załamania – prawo Snelliusa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zjawiska załamania światła na granicy ośrodków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wyjaśnia przyczyny zjawisk związanych z załamaniem światła, np.: złudzenia optyczne, fatamorgana (miraże)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zapisuje prawo Snelliusa dla kąta granicznego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inne niż światłowód przykłady wykorzystania zjawiska całkowitego wewnętrznego odbicia (np. fal dźwiękowych)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drugą tęczę jako przykład zjawiska optycznego powstającego dzięki rozszczepieniu światła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doświadczalnie obserwuje zjawisko dyfrakcji światła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praktyczne znaczenie dyfrakcji światła i dyfrakcji dźwięku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stosuje zasadę superpozycji fal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interferencji fal dźwiękowych i interferencji światła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wyjaśnia) zjawisko interferencji fal i przestrzenny obraz interferencji; opisuje zależność przestrzennego obrazu interferencji od długości fali i odległości między źródłami fal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rozróżnia światło spójne i światło niespójne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wyniki obserwacji interferencji światła na siatce dyfrakcyjnej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opisuje obraz powstający po przejściu światła przez siatkę dyfrakcyjną;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analizuje jakościowo zjawisko interferencji wiązek światła odbitych od dwóch powierzchni cienkiej warstwy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przykłady zjawisk optycznych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obserwowanych dzięki dyfrakcji i interferencji światła: w przyrodzie (barwy niektórych organizmów żywych, baniek mydlanych) i 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  <w:vertAlign w:val="superscript"/>
              </w:rPr>
              <w:t>D</w:t>
            </w:r>
            <w:r>
              <w:rPr>
                <w:iCs/>
                <w:color w:val="0D0D0D" w:themeColor="text1" w:themeTint="f2"/>
                <w:sz w:val="15"/>
                <w:szCs w:val="15"/>
                <w:highlight w:val="lightGray"/>
              </w:rPr>
              <w:t>w atmosferze (wieniec, iryzacja chmury, widmo Brockenu, gloria)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 obserwację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>wygaszania światła po przejściu przez dwa polaryzatory ustawione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prostopadle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obserwację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polaryzacji przy odbiciu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przykłady występowania polaryzacji światła, np.: ekrany LCD, niektóre gatunki zwierząt, które widzą światło spolaryzowane,  okulary polaryzacyjne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interpretuje wzór opisujący efekt Dopplera; stosuje go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omawia na wybranych przykładach powstawanie fali uderzeniowej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 dotyczące treści tego rozdziału,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materiałów źródłowych dotyczących treści tego rozdziału, w szczególności zjawiska odbicia fal (np. lustra weneckie, barwy ciał),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prezentuje efekty własnej pracy, np. projekty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>
              <w:rPr>
                <w:color w:val="0D0D0D" w:themeColor="text1" w:themeTint="f2"/>
                <w:sz w:val="15"/>
                <w:szCs w:val="15"/>
              </w:rPr>
              <w:t>; planuje i modyfikuje przebieg wybranych doświadczeń domowych, formułuje i weryfikuje hipotezy</w:t>
            </w:r>
          </w:p>
        </w:tc>
        <w:tc>
          <w:tcPr>
            <w:tcW w:w="2978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opisem fal i zjawiskiem ich odbicia oraz rozpraszaniem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załamania fal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odbicia i załamania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związane z opisem tęczy i halo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dyfrakcją i interferencją fal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efektem Dopplera;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doświadczeń domowych, formułuje i weryfikuje hipotezy; projektuje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okulary polaryzacyjne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10. Fizyka atomowa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informuje, na czym polega zjawisko fotoelektryczne; 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wskazuje przyczyny efektu cieplarnianego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widma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jakościowo uproszczony model budowy atomu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promieniowanie termiczne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widma żarówki i świetlówki;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jc w:val="both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przedstawia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proste zadania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lub problemy dotyczące: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zjawisk fotoelektrycznego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>promieniowania termicznego ciał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powstawania widm liniowych i zjawiska jonizacji,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 szczególności: wyodrębnia z tekstów i ilustracji informacje kluczowe, wykonuje obliczenia i zapisuje wynik zgodnie z zasadami 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zjawisko fotoelektryczne jako wywołane tylko przez promieniowanie o częstotliwości większej od granicznej; wskazuje i opisuje przykłady tego zjawiska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dualizm korpuskularno-falowy światła; wyjaśnia pojęcie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oraz jego energii;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interpretuje wzór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energię fotonu,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stosuje go do obliczeń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elektronowoltu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pracy wyjścia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interpetuje podany wzór na długość fali de Broglie’a, stosuje go do obliczeń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wynik obserwacji promieniowania termicznego, formułuje wniosek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 xml:space="preserve">analizuje na wybranych przykładach promieniowanie termiczne  ciał i jego zależność od temperatury, wskazuje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 xml:space="preserve">przykłady wykorzystania tej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>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ciała doskonale czarnego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; wskazuje ciała, które w przybliżeniu są jego przykładami i omawia ich promieniowanie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 skutki efektu cieplarnianego w przypadku przyrody i ludzi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wymienia główne źródła emisji gazów cieplarnianych; porównuje je pod względem stopnia przyczyniania się do efektu  cieplarnianego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omawia sposoby ograniczania efektu cieplarnianego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porównuje widma żarówki i świetlówki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rozróżnia widma ciągłe i liniowe oraz widma emisyjne i absorpcyjne; opisuje jakościowo pochodzenie widm emisyjnych i absorpcyjnych gazów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analizuje i porównuje widma emisyjne i 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absorpcyjne tej samej substancji, opisuje je jakościowo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orbit dozwolonych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; informuje, że energia elektronu w atomie nie może być dowolna, opisuje jakościowo jej zależność od odległości elektronu od jądra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rozróżnia stan podstawowy atomu i jego stany wzbudzone; interpretuje linie widmowe jako skutek przejść między poziomami energetycznymi w atomach w związku z emisją lub absorpcją kwantu światła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opisuje zjawisko jonizacji jako wywoływane tylko przez promieniowanie o częstotliwości większej od granicznej; posługuje 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energii jonizacji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podaje postulaty Bohra; opisuje model atomu Bohra, wskazuje jego ograniczenia; wykazuje, że promień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>-tej orbity elektronu w atomie wodoru jest proporcjonalny do kwadratu numeru tej orbity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widmo wodoru na podstawie zdjęcia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zjawisk fotoelektrycznego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>i 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efektu cieplarnianego i jego ograniczania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analizą oraz 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widm emisyjnych i absorpcyjnych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powstawania widm liniowych i zjawiska jonizacji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modelu atomu Bohra oraz widm atomu wodoru;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wyodrębnia z tekstów i ilustracji informacje kluczowe; posługuje się tablicami fizycznymi oraz kartą wybranych wzorów i stałych; stosuje do obliczeń związek gęstości z masą i objętością; wykonuje obliczenia, posługując się kalkulatorem;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dokonuje syntezy wiedzy z rozdziału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Fizyka atomowa</w:t>
            </w:r>
            <w:r>
              <w:rPr>
                <w:color w:val="0D0D0D" w:themeColor="text1" w:themeTint="f2"/>
                <w:sz w:val="15"/>
                <w:szCs w:val="15"/>
              </w:rPr>
              <w:t>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efektu  cieplarnianego,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odkryć kluczowych dla rozwoju mechaniki kwantowej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prezentuje efekty własnej pracy, np.: doświadczeń domowych i obserwacji </w:t>
            </w:r>
          </w:p>
        </w:tc>
        <w:tc>
          <w:tcPr>
            <w:tcW w:w="3542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wyjaśnia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przykładach mechanizm zjawiska fotoelektrycznego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stosuje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do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wyjaśniania zjawisk wzór na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energię fotonu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pojęcia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energii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oraz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pracy wyjścia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 analizie bilansu energetycznego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zjawiska fotoelektrycznego, wyznacza energię kinetyczną wybitego elektronu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opisuje zjawiska dyfrakcji oraz interferencji elektronów i innych cząstek, podaje przykłady ich wykorzystania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pacing w:val="-2"/>
                <w:sz w:val="15"/>
                <w:szCs w:val="15"/>
              </w:rPr>
              <w:t>fal materii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(fal de Broglie’a); stosuje podany wzór na długość fali de Broglie’a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uzasadnia, że pomiędzy mikroświatem a makroświatem nie ma wyraźnej granicy; uzasadnia, dlaczego w życiu codziennym nie obserwujemy falowej natury ciał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vertAlign w:val="superscript"/>
                <w:lang w:eastAsia="en-US"/>
              </w:rPr>
              <w:t>D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analizuje zależność mocy ich promieniowania od jego częstotliwości w przypadku Słońca i włókna żarówki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wyjaśnia, na czym polega efekt cieplarniany; opisuje jego powstawanie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wyjaśnia, dlaczego prążki w widmach emisyjnych i absorpcyjnych dla danego gazu przy tych samych częstotliwościach znajdują się  w tych samych miejscach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wyznacza promień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>-tej orbity elektronu w atomie wodoru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analizuje i opisuje seryjny układ linii widmowych na przykładzie widma atomu wodoru;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posługuje się wzorami Balmera i Rydberga, stosuje je do obliczeń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posługuje się wzorem na energię elektronu w atomie wodoru na 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-tej orbicie,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interpretuje ten wzór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zjawisk fotoelektrycznego i  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efektu cieplarnianego i jego ograniczania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analizą oraz 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widm emisyjnych i absorpcyjnych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powstawania widm liniowych i zjawiska jonizacji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dotyczące modelu atomu Bohra oraz widm atomu wodoru;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posługuje się informacjami pochodzącymi z analizy materiałów źródłowych, które dotyczą treści tego rozdziału, w szczególności: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 zjawisk fotoelektrycznego i 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natury światła,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odkryć kluczowych dla rozwoju kwantowej teorii promieniowania (założenie Plancka),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wykorzystania analizy promieniowania (widm) podczas poznawania budowy gwiazd i jako metody współczesnej kryminalistyki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planuje przebieg wybranych doświadczeń domowych i obserwacji, formułuje i weryfikuje hipotezy; prezentuje przedstawiony projekt związany z tematyką tego rozdziału</w:t>
            </w:r>
          </w:p>
        </w:tc>
        <w:tc>
          <w:tcPr>
            <w:tcW w:w="2978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wykazuje, że model Bohra wyjaśnia wzór Rydberga;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analizuje różne modele wybranego zjawiska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atomowa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zjawisk fotoelektrycznego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związane z falami materii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 xml:space="preserve">dotyczące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>promieniowania termicznego ciał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dotyczące powstawania widm liniowych i zjawiska jonizacji oraz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>widm atomu wodoru;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doświadczeń domowych oraz obserwacji, formułuje i weryfikuje hipotezy 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  <w:tr>
        <w:trPr>
          <w:trHeight w:val="20" w:hRule="atLeast"/>
        </w:trPr>
        <w:tc>
          <w:tcPr>
            <w:tcW w:w="14708" w:type="dxa"/>
            <w:gridSpan w:val="4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jc w:val="center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 xml:space="preserve">11. Fizyka jądrowa. 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>Gwiazdy i Wszechświat</w:t>
            </w:r>
          </w:p>
        </w:tc>
      </w:tr>
      <w:tr>
        <w:trPr>
          <w:trHeight w:val="20" w:hRule="atLeast"/>
        </w:trPr>
        <w:tc>
          <w:tcPr>
            <w:tcW w:w="3793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64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</w:rPr>
            </w:pP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posługuje się pojęciami: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pierwiastek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jądro atomowe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izotop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proton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neutron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i </w:t>
            </w:r>
            <w:r>
              <w:rPr>
                <w:rFonts w:eastAsia="Calibri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elektron</w:t>
            </w:r>
            <w:r>
              <w:rPr>
                <w:rFonts w:eastAsia="Calibri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do opisu składu materii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informuje, że w niezjonizowanym atomie liczba elektronów poruszających się wokół jądra jest równa liczbie protonów w jądrze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obserwuje wykrywanie promieniotwórczości różnych substancji; przedstawia wyniki obserwacji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odróżnia reakcje chemiczne od reakcji jądrowych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5"/>
                <w:szCs w:val="15"/>
              </w:rPr>
              <w:t>podaje przykłady wykorzystania reakcji rozszczepienia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warunki, w jakich może zachodzić reakcja termojądrowa przemiany wodoru w hel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podaje reakcje termojądrowe przemiany wodoru w hel jako źródło energii Słońca oraz podaje warunki ich zachodzenia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podaje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przybliżony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wiek </w:t>
            </w:r>
            <w:r>
              <w:rPr>
                <w:color w:val="0D0D0D" w:themeColor="text1" w:themeTint="f2"/>
                <w:sz w:val="15"/>
                <w:szCs w:val="15"/>
              </w:rPr>
              <w:t>Słońca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wskazuje początkową masę gwiazdy jako czynnik warunkujący jej ewolucję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podaje przybliżony wiek Wszechświata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20"/>
              </w:tabs>
              <w:spacing w:lineRule="auto" w:line="264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proste zadania</w:t>
            </w:r>
            <w:r>
              <w:rPr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lub problemy: 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składu jądra atomowego</w:t>
            </w:r>
            <w:r>
              <w:rPr>
                <w:color w:val="0D0D0D" w:themeColor="text1" w:themeTint="f2"/>
                <w:sz w:val="15"/>
                <w:szCs w:val="15"/>
              </w:rPr>
              <w:t>; ilustruje na schematycznych rysunkach jądra wybranych izotopów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właściwościami promieniowania jądrowego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organizmy żywe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64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 szczególności: wyodrębnia z tekstów i ilustracji informacje kluczowe, przelicza jednostki, wykonuje obliczenia i zapisuje wynik zgodnie z zasadami 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>zaokrąglania, z zachowaniem liczby cyfr znaczących, ustala odpowiedzi, czytelnie przedstawia odpowiedzi i rozwiązania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  <w:tc>
          <w:tcPr>
            <w:tcW w:w="4395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opisuje skład jądra atomowego na podstawie liczb masowej i atomowej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i/>
                <w:i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 xml:space="preserve">się pojęciem </w:t>
            </w:r>
            <w:r>
              <w:rPr>
                <w:rFonts w:eastAsia="Calibri"/>
                <w:i/>
                <w:color w:val="0D0D0D" w:themeColor="text1" w:themeTint="f2"/>
                <w:sz w:val="15"/>
                <w:szCs w:val="15"/>
                <w:lang w:eastAsia="en-US"/>
              </w:rPr>
              <w:t>sił przyciągania jądrowego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wyjaśnia, na czym polega promieniotwórczość naturalna; wymienia wybrane metody wykrywania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>
              <w:rPr>
                <w:color w:val="0D0D0D" w:themeColor="text1" w:themeTint="f2"/>
                <w:spacing w:val="-4"/>
                <w:sz w:val="14"/>
                <w:szCs w:val="14"/>
              </w:rPr>
              <w:t>opisuje obserwacje związane z wykrywaniem promieniotwórczości</w:t>
            </w:r>
            <w:r>
              <w:rPr>
                <w:color w:val="0D0D0D" w:themeColor="text1" w:themeTint="f2"/>
                <w:spacing w:val="-4"/>
                <w:sz w:val="15"/>
                <w:szCs w:val="15"/>
              </w:rPr>
              <w:t xml:space="preserve"> różnych substancji; podaje przykłady substancji emitujących promieniowanie jądrowe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właściwości promieniowania jądrowego; rozróżnia promieniowanie: alfa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</w:t>
            </w:r>
            <w:r>
              <w:rPr>
                <w:color w:val="0D0D0D" w:themeColor="text1" w:themeTint="f2"/>
                <w:sz w:val="15"/>
                <w:szCs w:val="15"/>
              </w:rPr>
              <w:t>), beta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</w:t>
            </w:r>
            <w:r>
              <w:rPr>
                <w:color w:val="0D0D0D" w:themeColor="text1" w:themeTint="f2"/>
                <w:sz w:val="15"/>
                <w:szCs w:val="15"/>
              </w:rPr>
              <w:t>) i gamma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</w:t>
            </w:r>
            <w:r>
              <w:rPr>
                <w:color w:val="0D0D0D" w:themeColor="text1" w:themeTint="f2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podaje przykłady zastosowania zjawiska promieniotwórczości w technice i medycynie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odróżnia promieniowanie jonizujące od promieniowania niejonizującego; informuje, że promieniowanie jonizujące wpływa na materię oraz na organizmy żywe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podaje przykłady wykorzystywania promieniowania jądrowego w medycynie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opisuje powstawanie promieniowania gamma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rozpady alfa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</w:t>
            </w:r>
            <w:r>
              <w:rPr>
                <w:color w:val="0D0D0D" w:themeColor="text1" w:themeTint="f2"/>
                <w:sz w:val="15"/>
                <w:szCs w:val="15"/>
              </w:rPr>
              <w:t>) i beta (</w:t>
            </w:r>
            <w:r>
              <w:rPr>
                <w:rFonts w:eastAsia="Symbol" w:cs="Symbol" w:ascii="Symbol" w:hAnsi="Symbol"/>
                <w:color w:val="0D0D0D" w:themeColor="text1" w:themeTint="f2"/>
                <w:sz w:val="15"/>
                <w:szCs w:val="15"/>
              </w:rPr>
              <w:t></w:t>
            </w:r>
            <w:r>
              <w:rPr>
                <w:color w:val="0D0D0D" w:themeColor="text1" w:themeTint="f2"/>
                <w:sz w:val="15"/>
                <w:szCs w:val="15"/>
              </w:rPr>
              <w:t>); zapisuje reakcje jądrowe, stosując zasadę zachowania liczby nukleonów i zasadę zachowania ładunku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rozpad izotopu promieniotwórczego; 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czasu połowicznego rozpadu</w:t>
            </w:r>
            <w:r>
              <w:rPr>
                <w:color w:val="0D0D0D" w:themeColor="text1" w:themeTint="f2"/>
                <w:sz w:val="15"/>
                <w:szCs w:val="15"/>
              </w:rPr>
              <w:t>, podaje przykłady zastosowania prawa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opisuje zależność liczby jąder lub masy izotopu promieniotwórczego od czasu, szkicuje wykres tej 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1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opisuje reakcję rozszczepienia jądra uranu </w:t>
            </w: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235</w:t>
            </w:r>
            <w:r>
              <w:rPr>
                <w:color w:val="0D0D0D" w:themeColor="text1" w:themeTint="f2"/>
                <w:sz w:val="15"/>
                <w:szCs w:val="15"/>
              </w:rPr>
              <w:t>U zachodzącą w wyniku pochłonięcia neutronu, uzupełnia zapis takiej reakcji; podaje warunki zajścia reakcji łańcuchowej; informuje, co to jest masa krytyczna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zasadę działania elektrowni jądrowej oraz wymienia korzyści i niebezpieczeństwa płynące z energetyki jądrowej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reakcję termojądrową przemiany wodoru w hel – reakcję syntezy termojądrowej – zachodzącą w gwiazdach; zapisuje i omawia reakcję termojądrową na przykładzie syntezy jąder trytu i deuteru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ograniczenia i perspektywy wykorzystania energii termojądrowej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stwierdza, że ciało emitujące energię traci masę; interpretuje i stosuje do obliczeń wzór wyrażający równoważność energii i masy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r>
                <w:rPr>
                  <w:rFonts w:ascii="Cambria Math" w:hAnsi="Cambria Math"/>
                </w:rPr>
                <m:t xml:space="preserve">∙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c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</m:oMath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wiązania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 i 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deficytu masy</w:t>
            </w:r>
            <w:r>
              <w:rPr>
                <w:color w:val="0D0D0D" w:themeColor="text1" w:themeTint="f2"/>
                <w:sz w:val="15"/>
                <w:szCs w:val="15"/>
              </w:rPr>
              <w:t>; oblicza te wielkości dla dowolnego izotopu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>stosuje zasadę zachowania energii do opisu reakcji jądrowych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opisuje, jak Słońce będzie produkować energię, gdy wodór się skończy – reakcję przemiany helu w węgiel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 xml:space="preserve">opisuje elementy ewolucji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Słońca (czerwony olbrzym, mgławica planetarna, biały karzeł)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 xml:space="preserve">opisuje elementy ewolucji gwiazd: najlżejszych, o masie podobnej do masy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Słońca, oraz gwiazd masywniejszych od Słońca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>; omawia supernowe i czarne dziury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Wielki Wybuch jako początek znanego nam Wszechświata; opisuje jakościowo rozszerzanie się Wszechświata – ucieczkę galaktyk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wymienia najważniejsze metody badania kosmosu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8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opisem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lang w:eastAsia="en-US"/>
              </w:rPr>
              <w:t>składu jądra atomowego i </w:t>
            </w:r>
            <w:r>
              <w:rPr>
                <w:color w:val="0D0D0D" w:themeColor="text1" w:themeTint="f2"/>
                <w:sz w:val="15"/>
                <w:szCs w:val="15"/>
              </w:rPr>
              <w:t>właściwościami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organizmy żywe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związane z energią jądrową i z reakcją oraz 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dotyczące życia Słońca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20"/>
              </w:tabs>
              <w:spacing w:lineRule="auto" w:line="278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dotyczące Wszechświata;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wyodrębnia z tekstów i ilustracji informacje kluczowe; posługuje się tablicami fizycznymi oraz kartą wybranych wzorów i stałych; uzupełnia zapisy reakcji jądrowych; wykonuje obliczenia szacunkowe, posługuje się kalkulatorem, analizuje otrzymany wynik; ustala i/lub uzasadnia odpowiedzi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dokonuje syntezy wiedzy z 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 i Wszechświat</w:t>
            </w:r>
            <w:r>
              <w:rPr>
                <w:color w:val="0D0D0D" w:themeColor="text1" w:themeTint="f2"/>
                <w:sz w:val="15"/>
                <w:szCs w:val="15"/>
              </w:rPr>
              <w:t>; przedstawia najważniejsze pojęcia, zasady i zależności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posługuje się informacjami pochodzącymi z analizy przedstawionych materiałów źródłowych dotyczących treści tego rozdziału, w szczególności: </w:t>
            </w:r>
            <w:r>
              <w:rPr>
                <w:color w:val="0D0D0D" w:themeColor="text1" w:themeTint="f2"/>
                <w:spacing w:val="-2"/>
                <w:sz w:val="15"/>
                <w:szCs w:val="15"/>
                <w:highlight w:val="lightGray"/>
              </w:rPr>
              <w:t>historii odkryć kluczowych dla rozwoju fizyki jądrowej, historii badań promieniotwórczości naturalnej,</w:t>
            </w:r>
            <w:r>
              <w:rPr>
                <w:color w:val="0D0D0D" w:themeColor="text1" w:themeTint="f2"/>
                <w:spacing w:val="-2"/>
                <w:sz w:val="15"/>
                <w:szCs w:val="15"/>
              </w:rPr>
              <w:t xml:space="preserve"> energii jądrowej, reakcji jądrowych, równoważności masy-energii, </w:t>
            </w:r>
            <w:r>
              <w:rPr>
                <w:rFonts w:eastAsia="Calibri"/>
                <w:color w:val="0D0D0D" w:themeColor="text1" w:themeTint="f2"/>
                <w:spacing w:val="-2"/>
                <w:sz w:val="15"/>
                <w:szCs w:val="15"/>
                <w:lang w:eastAsia="en-US"/>
              </w:rPr>
              <w:t>ewolucji gwiazd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prezentuje efekty własnej pracy, np.: analizy wskazanego tekstu, wybranych obserwacji</w:t>
            </w:r>
          </w:p>
        </w:tc>
        <w:tc>
          <w:tcPr>
            <w:tcW w:w="3542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omawia doświadczenie Rutherforda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wybrane metody wykrywania promieniowania jądrowego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przykłady zastosowania zjawiska promieniotwórczości w technice i medycynie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opisuje wpływ promieniowania jonizującego na organizmy żywe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przykłady wykorzystania promieniowania jądrowego w medycynie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wykorzystuje do obliczeń wykres zależności liczby jąder izotopu promieniotwórczego od czasu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opisuje zasadę datowania substancji – skał, zabytków, szczątków organicznych – na </w:t>
            </w:r>
            <w:r>
              <w:rPr>
                <w:color w:val="0D0D0D" w:themeColor="text1" w:themeTint="f2"/>
                <w:spacing w:val="-4"/>
                <w:sz w:val="14"/>
                <w:szCs w:val="14"/>
              </w:rPr>
              <w:t>podstawie zawartości izotopów promieniotwórczych</w:t>
            </w:r>
            <w:r>
              <w:rPr>
                <w:color w:val="0D0D0D" w:themeColor="text1" w:themeTint="f2"/>
                <w:sz w:val="15"/>
                <w:szCs w:val="15"/>
              </w:rPr>
              <w:t>; stosuje ją do obliczeń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omawia budowę reaktora jądrowego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wyjaśnia, dlaczego żelazo jest pierwiastkiem granicznym w możliwościach pozyskiwania energii jądrowej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D0D0D" w:themeColor="text1" w:themeTint="f2"/>
                <w:sz w:val="15"/>
                <w:szCs w:val="15"/>
              </w:rPr>
              <w:t>energii spoczynkowej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;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oblicza energię wyzwoloną podczas reakcji jądrowych przez porównanie mas substratów i produktów reakcji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opisuje powstawanie pierwiastków we Wszechświecie oraz ewolucję i dalsze losy Wszechświata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organizmy żywe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reakcją i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dotyczące życia Słońca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highlight w:val="lightGray"/>
              </w:rPr>
            </w:pP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dotyczące Wszechświata;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posługuje się informacjami pochodzącymi z analizy materiałów źródłowych dotyczących treści tego rozdziału, w szczególności: skutków i zastosowań promieniowania jądrowego, występowania oraz wykorzystania izotopów promieniotwórczych (np. występowanie radonu, pozyskiwanie helu), reakcji jądrowych, równoważności masy-energii, </w:t>
            </w:r>
            <w:r>
              <w:rPr>
                <w:rFonts w:eastAsia="Calibri"/>
                <w:color w:val="0D0D0D" w:themeColor="text1" w:themeTint="f2"/>
                <w:sz w:val="15"/>
                <w:szCs w:val="15"/>
                <w:highlight w:val="lightGray"/>
                <w:lang w:eastAsia="en-US"/>
              </w:rPr>
              <w:t xml:space="preserve">ewolucji gwiazd, </w:t>
            </w:r>
            <w:r>
              <w:rPr>
                <w:color w:val="0D0D0D" w:themeColor="text1" w:themeTint="f2"/>
                <w:sz w:val="15"/>
                <w:szCs w:val="15"/>
                <w:highlight w:val="lightGray"/>
              </w:rPr>
              <w:t>historii badań dziejów Wszechświata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prezentuje efekty własnej pracy, np. analizy samodzielnie wyszukanego tekstu, wybranych obserwacji, realizacji przedstawionego projektu </w:t>
            </w:r>
          </w:p>
        </w:tc>
        <w:tc>
          <w:tcPr>
            <w:tcW w:w="2978" w:type="dxa"/>
            <w:tcBorders>
              <w:top w:val="single" w:sz="6" w:space="0" w:color="A7A9AB"/>
              <w:left w:val="single" w:sz="6" w:space="0" w:color="A7A9AB"/>
              <w:bottom w:val="single" w:sz="6" w:space="0" w:color="A7A9AB"/>
              <w:right w:val="single" w:sz="6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ind w:left="164" w:hanging="164"/>
              <w:rPr>
                <w:rFonts w:ascii="HelveticaNeueLT Pro 55 Roman" w:hAnsi="HelveticaNeueLT Pro 55 Roman"/>
                <w:b/>
                <w:b/>
                <w:color w:val="0D0D0D" w:themeColor="text1" w:themeTint="f2"/>
                <w:sz w:val="15"/>
                <w:szCs w:val="15"/>
              </w:rPr>
            </w:pPr>
            <w:r>
              <w:rPr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 i Wszechświat</w:t>
            </w:r>
            <w:r>
              <w:rPr>
                <w:color w:val="0D0D0D" w:themeColor="text1" w:themeTint="f2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wpływu promieniowania jonizującego na materię i na organizmy żywe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reakcji jądrowych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czasem połowicznego rozpadu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energią jądrową i </w:t>
            </w:r>
            <w:r>
              <w:rPr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dotyczące równoważności energii i masy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związane z obliczaniem energii wiązania i deficytu masy;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>ilustruje i/lub uzasadnia zależności, odpowiedzi lub stwierdzenia; formułuje hipotezy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20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  <w:t xml:space="preserve">realizuje i prezentuje własny projekt związany z tematyką tego rozdziału; planuje i modyfikuje przebieg wskazanych obserwacji, formułuje i weryfikuje hipotezy </w:t>
            </w:r>
          </w:p>
          <w:p>
            <w:pPr>
              <w:pStyle w:val="Stopka"/>
              <w:widowControl w:val="false"/>
              <w:tabs>
                <w:tab w:val="clear" w:pos="4513"/>
                <w:tab w:val="clear" w:pos="9026"/>
              </w:tabs>
              <w:spacing w:lineRule="auto" w:line="276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color w:val="0D0D0D" w:themeColor="text1" w:themeTint="f2"/>
                <w:sz w:val="15"/>
                <w:szCs w:val="15"/>
              </w:rPr>
            </w:r>
          </w:p>
        </w:tc>
      </w:tr>
    </w:tbl>
    <w:p>
      <w:pPr>
        <w:pStyle w:val="Tretekstu"/>
        <w:overflowPunct w:val="true"/>
        <w:spacing w:before="240" w:after="0"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true"/>
        <w:spacing w:lineRule="auto" w:line="276" w:before="21" w:after="0"/>
        <w:ind w:left="1062"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>statucie</w:t>
      </w:r>
      <w:r>
        <w:rPr>
          <w:color w:val="221F1F"/>
        </w:rPr>
        <w:t>szkoły.</w:t>
      </w:r>
    </w:p>
    <w:p>
      <w:pPr>
        <w:pStyle w:val="Tretekstu"/>
        <w:overflowPunct w:val="true"/>
        <w:spacing w:lineRule="auto" w:line="276" w:before="12" w:after="0"/>
        <w:ind w:left="1062"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134" w:footer="709" w:bottom="170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Symbol">
    <w:charset w:val="ee"/>
    <w:family w:val="roman"/>
    <w:pitch w:val="variable"/>
  </w:font>
  <w:font w:name="HelveticaNeueLT Pro 55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Sc"/>
      <w:rPr>
        <w:lang w:val="pl-PL"/>
      </w:rPr>
    </w:pPr>
    <w:r>
      <w:rPr>
        <w:lang w:val="pl-P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mc:AlternateContent>
        <mc:Choice Requires="wps">
          <w:drawing>
            <wp:anchor behindDoc="1" distT="1268095" distB="1250315" distL="0" distR="0" simplePos="0" locked="0" layoutInCell="0" allowOverlap="1" relativeHeight="11" wp14:anchorId="21DF1DB3">
              <wp:simplePos x="0" y="0"/>
              <wp:positionH relativeFrom="page">
                <wp:posOffset>1831340</wp:posOffset>
              </wp:positionH>
              <wp:positionV relativeFrom="page">
                <wp:posOffset>-989965</wp:posOffset>
              </wp:positionV>
              <wp:extent cx="263525" cy="2799715"/>
              <wp:effectExtent l="0" t="635" r="0" b="0"/>
              <wp:wrapNone/>
              <wp:docPr id="1" name="Text Box 930_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3520" cy="279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Text Box 930_0" path="m0,0l-2147483645,0l-2147483645,-2147483646l0,-2147483646xe" stroked="f" o:allowincell="f" style="position:absolute;margin-left:144.2pt;margin-top:-77.95pt;width:20.7pt;height:220.4pt;mso-wrap-style:none;v-text-anchor:middle;rotation:90;mso-position-horizontal-relative:page;mso-position-vertical-relative:page" wp14:anchorId="21DF1DB3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8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57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345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34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23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211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00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788" w:hanging="194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94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28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362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696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030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364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698" w:hanging="167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730" w:hanging="1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01" w:hanging="1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843" w:hanging="1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214" w:hanging="1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85" w:hanging="1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956" w:hanging="16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908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57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606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54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03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652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00" w:hanging="194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1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eastAsia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425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038cd"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2038cd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b/>
      <w:bCs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2038cd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2038cd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StopkaZnak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2038cd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038cd"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2038cd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52CD-80CA-4194-A45D-CF84507D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LibreOffice/7.4.1.2$Windows_X86_64 LibreOffice_project/3c58a8f3a960df8bc8fd77b461821e42c061c5f0</Application>
  <AppVersion>15.0000</AppVersion>
  <DocSecurity>0</DocSecurity>
  <Pages>12</Pages>
  <Words>5921</Words>
  <Characters>39590</Characters>
  <CharactersWithSpaces>44626</CharactersWithSpaces>
  <Paragraphs>504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2019-07-27T17:45:00Z</dcterms:created>
  <dc:creator>d.okulewicz</dc:creator>
  <dc:description/>
  <dc:language>pl-PL</dc:language>
  <cp:lastModifiedBy/>
  <dcterms:modified xsi:type="dcterms:W3CDTF">2024-09-02T15:16:13Z</dcterms:modified>
  <cp:revision>13</cp:revision>
  <dc:subject/>
  <dc:title>066407 OF1 KN_PSO_ZP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